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158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Шарпудиновича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12.8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Мурту</w:t>
      </w:r>
      <w:r>
        <w:rPr>
          <w:rFonts w:ascii="Times New Roman" w:eastAsia="Times New Roman" w:hAnsi="Times New Roman" w:cs="Times New Roman"/>
          <w:sz w:val="28"/>
          <w:szCs w:val="28"/>
        </w:rPr>
        <w:t>залиев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18.01.2025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1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59102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результатом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0,333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3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Муртузалиева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Шарпудиновича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</w:t>
      </w:r>
      <w:r>
        <w:rPr>
          <w:rFonts w:ascii="Times New Roman" w:eastAsia="Times New Roman" w:hAnsi="Times New Roman" w:cs="Times New Roman"/>
          <w:sz w:val="28"/>
          <w:szCs w:val="28"/>
        </w:rPr>
        <w:t>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Муртузалиев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янва</w:t>
      </w: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158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</w:rPr>
        <w:t>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03100643000000018700</w:t>
      </w:r>
      <w:r>
        <w:rPr>
          <w:rFonts w:ascii="Times New Roman" w:eastAsia="Times New Roman" w:hAnsi="Times New Roman" w:cs="Times New Roman"/>
        </w:rPr>
        <w:t xml:space="preserve"> в РКЦ Ханты-Мансийск; БИК </w:t>
      </w:r>
      <w:r>
        <w:rPr>
          <w:rStyle w:val="cat-PhoneNumbergrp-24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Addressgrp-3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5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6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27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188104862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01120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5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Timegrp-20rplc-17">
    <w:name w:val="cat-Time grp-20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CarMakeModelgrp-21rplc-20">
    <w:name w:val="cat-CarMakeModel grp-21 rplc-20"/>
    <w:basedOn w:val="DefaultParagraphFont"/>
  </w:style>
  <w:style w:type="character" w:customStyle="1" w:styleId="cat-CarNumbergrp-22rplc-21">
    <w:name w:val="cat-CarNumber grp-22 rplc-21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CarMakeModelgrp-21rplc-31">
    <w:name w:val="cat-CarMakeModel grp-21 rplc-31"/>
    <w:basedOn w:val="DefaultParagraphFont"/>
  </w:style>
  <w:style w:type="character" w:customStyle="1" w:styleId="cat-CarNumbergrp-22rplc-32">
    <w:name w:val="cat-CarNumber grp-22 rplc-32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Addressgrp-3rplc-52">
    <w:name w:val="cat-Address grp-3 rplc-52"/>
    <w:basedOn w:val="DefaultParagraphFont"/>
  </w:style>
  <w:style w:type="character" w:customStyle="1" w:styleId="cat-PhoneNumbergrp-25rplc-53">
    <w:name w:val="cat-PhoneNumber grp-25 rplc-53"/>
    <w:basedOn w:val="DefaultParagraphFont"/>
  </w:style>
  <w:style w:type="character" w:customStyle="1" w:styleId="cat-PhoneNumbergrp-26rplc-54">
    <w:name w:val="cat-PhoneNumber grp-26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3rplc-58">
    <w:name w:val="cat-Address grp-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